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90A" w:rsidRDefault="00A7590A">
      <w:pPr>
        <w:pStyle w:val="En-tte"/>
        <w:widowControl/>
        <w:tabs>
          <w:tab w:val="clear" w:pos="4535"/>
          <w:tab w:val="clear" w:pos="9070"/>
          <w:tab w:val="center" w:pos="5495"/>
          <w:tab w:val="right" w:pos="10970"/>
        </w:tabs>
        <w:spacing w:line="240" w:lineRule="auto"/>
      </w:pPr>
    </w:p>
    <w:p w:rsidR="00A7590A" w:rsidRDefault="00A7590A">
      <w:pPr>
        <w:pStyle w:val="En-tte"/>
        <w:spacing w:line="240" w:lineRule="auto"/>
      </w:pPr>
    </w:p>
    <w:p w:rsidR="00A7590A" w:rsidRDefault="00A7590A">
      <w:pPr>
        <w:pStyle w:val="En-tte"/>
        <w:widowControl/>
        <w:spacing w:line="240" w:lineRule="auto"/>
      </w:pPr>
    </w:p>
    <w:p w:rsidR="00A7590A" w:rsidRDefault="00A7590A">
      <w:pPr>
        <w:pStyle w:val="En-tte"/>
        <w:widowControl/>
        <w:spacing w:line="240" w:lineRule="auto"/>
        <w:rPr>
          <w:color w:val="auto"/>
          <w:kern w:val="0"/>
          <w:sz w:val="24"/>
          <w:szCs w:val="24"/>
        </w:rPr>
      </w:pPr>
    </w:p>
    <w:p w:rsidR="00A7590A" w:rsidRDefault="00A7590A">
      <w:pPr>
        <w:overflowPunct/>
        <w:spacing w:after="0" w:line="240" w:lineRule="auto"/>
        <w:rPr>
          <w:color w:val="auto"/>
          <w:kern w:val="0"/>
          <w:sz w:val="24"/>
          <w:szCs w:val="24"/>
        </w:rPr>
        <w:sectPr w:rsidR="00A7590A">
          <w:pgSz w:w="12240" w:h="15840"/>
          <w:pgMar w:top="1417" w:right="1417" w:bottom="1417" w:left="1417" w:header="720" w:footer="720" w:gutter="0"/>
          <w:cols w:space="720"/>
          <w:noEndnote/>
        </w:sectPr>
      </w:pPr>
    </w:p>
    <w:p w:rsidR="00A7590A" w:rsidRDefault="00A7590A">
      <w:pPr>
        <w:tabs>
          <w:tab w:val="center" w:pos="5495"/>
          <w:tab w:val="right" w:pos="10970"/>
        </w:tabs>
        <w:rPr>
          <w:color w:val="auto"/>
          <w:kern w:val="0"/>
          <w:sz w:val="24"/>
          <w:szCs w:val="24"/>
        </w:rPr>
      </w:pPr>
    </w:p>
    <w:p w:rsidR="00A7590A" w:rsidRDefault="00A7590A">
      <w:pPr>
        <w:overflowPunct/>
        <w:spacing w:after="0" w:line="240" w:lineRule="auto"/>
        <w:rPr>
          <w:color w:val="auto"/>
          <w:kern w:val="0"/>
          <w:sz w:val="24"/>
          <w:szCs w:val="24"/>
        </w:rPr>
        <w:sectPr w:rsidR="00A7590A">
          <w:type w:val="continuous"/>
          <w:pgSz w:w="12240" w:h="15840"/>
          <w:pgMar w:top="1417" w:right="1417" w:bottom="1417" w:left="1417" w:header="720" w:footer="720" w:gutter="0"/>
          <w:cols w:space="720"/>
          <w:noEndnote/>
        </w:sectPr>
      </w:pPr>
    </w:p>
    <w:p w:rsidR="00A7590A" w:rsidRDefault="00A7590A">
      <w:pPr>
        <w:spacing w:after="0" w:line="240" w:lineRule="auto"/>
        <w:rPr>
          <w:color w:val="auto"/>
          <w:kern w:val="0"/>
          <w:sz w:val="24"/>
          <w:szCs w:val="24"/>
        </w:rPr>
      </w:pPr>
      <w:r>
        <w:rPr>
          <w:rFonts w:ascii="Souvenir Lt BT" w:hAnsi="Souvenir Lt BT" w:cs="Souvenir Lt BT"/>
          <w:b/>
          <w:bCs/>
          <w:color w:val="4F81BD"/>
          <w:sz w:val="48"/>
          <w:szCs w:val="48"/>
        </w:rPr>
        <w:t>Rothay</w:t>
      </w:r>
    </w:p>
    <w:p w:rsidR="00A7590A" w:rsidRDefault="00A7590A">
      <w:pPr>
        <w:overflowPunct/>
        <w:spacing w:after="0" w:line="240" w:lineRule="auto"/>
        <w:rPr>
          <w:color w:val="auto"/>
          <w:kern w:val="0"/>
          <w:sz w:val="24"/>
          <w:szCs w:val="24"/>
        </w:rPr>
        <w:sectPr w:rsidR="00A7590A">
          <w:type w:val="continuous"/>
          <w:pgSz w:w="12240" w:h="15840"/>
          <w:pgMar w:top="1417" w:right="1417" w:bottom="1417" w:left="1417" w:header="720" w:footer="720" w:gutter="0"/>
          <w:cols w:space="720"/>
          <w:noEndnote/>
        </w:sectPr>
      </w:pPr>
    </w:p>
    <w:tbl>
      <w:tblPr>
        <w:tblW w:w="0" w:type="auto"/>
        <w:tblLayout w:type="fixed"/>
        <w:tblCellMar>
          <w:left w:w="0" w:type="dxa"/>
          <w:right w:w="0" w:type="dxa"/>
        </w:tblCellMar>
        <w:tblLook w:val="0000" w:firstRow="0" w:lastRow="0" w:firstColumn="0" w:lastColumn="0" w:noHBand="0" w:noVBand="0"/>
      </w:tblPr>
      <w:tblGrid>
        <w:gridCol w:w="2259"/>
        <w:gridCol w:w="2702"/>
      </w:tblGrid>
      <w:tr w:rsidR="00A7590A">
        <w:tblPrEx>
          <w:tblCellMar>
            <w:top w:w="0" w:type="dxa"/>
            <w:left w:w="0" w:type="dxa"/>
            <w:bottom w:w="0" w:type="dxa"/>
            <w:right w:w="0" w:type="dxa"/>
          </w:tblCellMar>
        </w:tblPrEx>
        <w:trPr>
          <w:trHeight w:val="357"/>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CLIMAT / TERRAIN:</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Régions froides ou montagneuses, souterrain</w:t>
            </w:r>
          </w:p>
        </w:tc>
      </w:tr>
      <w:tr w:rsidR="00A7590A">
        <w:tblPrEx>
          <w:tblCellMar>
            <w:top w:w="0" w:type="dxa"/>
            <w:left w:w="0" w:type="dxa"/>
            <w:bottom w:w="0" w:type="dxa"/>
            <w:right w:w="0" w:type="dxa"/>
          </w:tblCellMar>
        </w:tblPrEx>
        <w:trPr>
          <w:trHeight w:val="281"/>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FRÉQUENCE:</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 xml:space="preserve">Peu commune </w:t>
            </w:r>
          </w:p>
        </w:tc>
      </w:tr>
      <w:tr w:rsidR="00A7590A">
        <w:tblPrEx>
          <w:tblCellMar>
            <w:top w:w="0" w:type="dxa"/>
            <w:left w:w="0" w:type="dxa"/>
            <w:bottom w:w="0" w:type="dxa"/>
            <w:right w:w="0" w:type="dxa"/>
          </w:tblCellMar>
        </w:tblPrEx>
        <w:trPr>
          <w:trHeight w:val="232"/>
        </w:trPr>
        <w:tc>
          <w:tcPr>
            <w:tcW w:w="2259"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ORGANISATION:</w:t>
            </w:r>
          </w:p>
        </w:tc>
        <w:tc>
          <w:tcPr>
            <w:tcW w:w="2702"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Troupeau</w:t>
            </w:r>
          </w:p>
        </w:tc>
      </w:tr>
      <w:tr w:rsidR="00A7590A">
        <w:tblPrEx>
          <w:tblCellMar>
            <w:top w:w="0" w:type="dxa"/>
            <w:left w:w="0" w:type="dxa"/>
            <w:bottom w:w="0" w:type="dxa"/>
            <w:right w:w="0" w:type="dxa"/>
          </w:tblCellMar>
        </w:tblPrEx>
        <w:trPr>
          <w:trHeight w:val="232"/>
        </w:trPr>
        <w:tc>
          <w:tcPr>
            <w:tcW w:w="2259"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 xml:space="preserve">CYCLE D’ACTIVITÉ: </w:t>
            </w:r>
          </w:p>
        </w:tc>
        <w:tc>
          <w:tcPr>
            <w:tcW w:w="2702"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Tout</w:t>
            </w:r>
          </w:p>
        </w:tc>
      </w:tr>
      <w:tr w:rsidR="00A7590A">
        <w:tblPrEx>
          <w:tblCellMar>
            <w:top w:w="0" w:type="dxa"/>
            <w:left w:w="0" w:type="dxa"/>
            <w:bottom w:w="0" w:type="dxa"/>
            <w:right w:w="0" w:type="dxa"/>
          </w:tblCellMar>
        </w:tblPrEx>
        <w:trPr>
          <w:trHeight w:val="247"/>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RÉGIME ALIMENTAIRE:</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Herbivore</w:t>
            </w:r>
          </w:p>
        </w:tc>
      </w:tr>
      <w:tr w:rsidR="00A7590A">
        <w:tblPrEx>
          <w:tblCellMar>
            <w:top w:w="0" w:type="dxa"/>
            <w:left w:w="0" w:type="dxa"/>
            <w:bottom w:w="0" w:type="dxa"/>
            <w:right w:w="0" w:type="dxa"/>
          </w:tblCellMar>
        </w:tblPrEx>
        <w:trPr>
          <w:trHeight w:val="232"/>
        </w:trPr>
        <w:tc>
          <w:tcPr>
            <w:tcW w:w="2259"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INTELLIGENCE:</w:t>
            </w:r>
          </w:p>
        </w:tc>
        <w:tc>
          <w:tcPr>
            <w:tcW w:w="2702"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 xml:space="preserve">Animale (1) </w:t>
            </w:r>
          </w:p>
        </w:tc>
      </w:tr>
      <w:tr w:rsidR="00A7590A">
        <w:tblPrEx>
          <w:tblCellMar>
            <w:top w:w="0" w:type="dxa"/>
            <w:left w:w="0" w:type="dxa"/>
            <w:bottom w:w="0" w:type="dxa"/>
            <w:right w:w="0" w:type="dxa"/>
          </w:tblCellMar>
        </w:tblPrEx>
        <w:trPr>
          <w:trHeight w:val="232"/>
        </w:trPr>
        <w:tc>
          <w:tcPr>
            <w:tcW w:w="2259"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TRÉSOR:</w:t>
            </w:r>
          </w:p>
        </w:tc>
        <w:tc>
          <w:tcPr>
            <w:tcW w:w="2702"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 xml:space="preserve">Aucun </w:t>
            </w:r>
          </w:p>
        </w:tc>
      </w:tr>
      <w:tr w:rsidR="00A7590A">
        <w:tblPrEx>
          <w:tblCellMar>
            <w:top w:w="0" w:type="dxa"/>
            <w:left w:w="0" w:type="dxa"/>
            <w:bottom w:w="0" w:type="dxa"/>
            <w:right w:w="0" w:type="dxa"/>
          </w:tblCellMar>
        </w:tblPrEx>
        <w:trPr>
          <w:trHeight w:val="232"/>
        </w:trPr>
        <w:tc>
          <w:tcPr>
            <w:tcW w:w="2259"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ALIGNEMENT:</w:t>
            </w:r>
          </w:p>
        </w:tc>
        <w:tc>
          <w:tcPr>
            <w:tcW w:w="2702"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Neutre</w:t>
            </w:r>
          </w:p>
        </w:tc>
      </w:tr>
      <w:tr w:rsidR="00A7590A">
        <w:tblPrEx>
          <w:tblCellMar>
            <w:top w:w="0" w:type="dxa"/>
            <w:left w:w="0" w:type="dxa"/>
            <w:bottom w:w="0" w:type="dxa"/>
            <w:right w:w="0" w:type="dxa"/>
          </w:tblCellMar>
        </w:tblPrEx>
        <w:trPr>
          <w:trHeight w:val="278"/>
        </w:trPr>
        <w:tc>
          <w:tcPr>
            <w:tcW w:w="2259"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NOMBRE APPARAISSANT:</w:t>
            </w:r>
          </w:p>
        </w:tc>
        <w:tc>
          <w:tcPr>
            <w:tcW w:w="2702"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2-20</w:t>
            </w:r>
          </w:p>
        </w:tc>
      </w:tr>
      <w:tr w:rsidR="00A7590A">
        <w:tblPrEx>
          <w:tblCellMar>
            <w:top w:w="0" w:type="dxa"/>
            <w:left w:w="0" w:type="dxa"/>
            <w:bottom w:w="0" w:type="dxa"/>
            <w:right w:w="0" w:type="dxa"/>
          </w:tblCellMar>
        </w:tblPrEx>
        <w:trPr>
          <w:trHeight w:val="208"/>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CLASSE D’ARMURE:</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7</w:t>
            </w:r>
          </w:p>
        </w:tc>
      </w:tr>
      <w:tr w:rsidR="00A7590A">
        <w:tblPrEx>
          <w:tblCellMar>
            <w:top w:w="0" w:type="dxa"/>
            <w:left w:w="0" w:type="dxa"/>
            <w:bottom w:w="0" w:type="dxa"/>
            <w:right w:w="0" w:type="dxa"/>
          </w:tblCellMar>
        </w:tblPrEx>
        <w:trPr>
          <w:trHeight w:val="238"/>
        </w:trPr>
        <w:tc>
          <w:tcPr>
            <w:tcW w:w="2259" w:type="dxa"/>
            <w:tcBorders>
              <w:top w:val="nil"/>
              <w:left w:val="nil"/>
              <w:bottom w:val="single" w:sz="6"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DÉPLACEMENT:</w:t>
            </w:r>
          </w:p>
        </w:tc>
        <w:tc>
          <w:tcPr>
            <w:tcW w:w="2702" w:type="dxa"/>
            <w:tcBorders>
              <w:top w:val="nil"/>
              <w:left w:val="nil"/>
              <w:bottom w:val="single" w:sz="6"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9 (12 pour le rothay des surfaces)</w:t>
            </w:r>
          </w:p>
        </w:tc>
      </w:tr>
      <w:tr w:rsidR="00A7590A">
        <w:tblPrEx>
          <w:tblCellMar>
            <w:top w:w="0" w:type="dxa"/>
            <w:left w:w="0" w:type="dxa"/>
            <w:bottom w:w="0" w:type="dxa"/>
            <w:right w:w="0" w:type="dxa"/>
          </w:tblCellMar>
        </w:tblPrEx>
        <w:trPr>
          <w:trHeight w:val="237"/>
        </w:trPr>
        <w:tc>
          <w:tcPr>
            <w:tcW w:w="2259" w:type="dxa"/>
            <w:tcBorders>
              <w:top w:val="single" w:sz="6"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DÉS DE VIE:</w:t>
            </w:r>
          </w:p>
        </w:tc>
        <w:tc>
          <w:tcPr>
            <w:tcW w:w="2702" w:type="dxa"/>
            <w:tcBorders>
              <w:top w:val="single" w:sz="6"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2</w:t>
            </w:r>
          </w:p>
        </w:tc>
      </w:tr>
      <w:tr w:rsidR="00A7590A">
        <w:tblPrEx>
          <w:tblCellMar>
            <w:top w:w="0" w:type="dxa"/>
            <w:left w:w="0" w:type="dxa"/>
            <w:bottom w:w="0" w:type="dxa"/>
            <w:right w:w="0" w:type="dxa"/>
          </w:tblCellMar>
        </w:tblPrEx>
        <w:trPr>
          <w:trHeight w:val="190"/>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TAC0:</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19</w:t>
            </w:r>
          </w:p>
        </w:tc>
      </w:tr>
      <w:tr w:rsidR="00A7590A">
        <w:tblPrEx>
          <w:tblCellMar>
            <w:top w:w="0" w:type="dxa"/>
            <w:left w:w="0" w:type="dxa"/>
            <w:bottom w:w="0" w:type="dxa"/>
            <w:right w:w="0" w:type="dxa"/>
          </w:tblCellMar>
        </w:tblPrEx>
        <w:trPr>
          <w:trHeight w:val="263"/>
        </w:trPr>
        <w:tc>
          <w:tcPr>
            <w:tcW w:w="2259" w:type="dxa"/>
            <w:tcBorders>
              <w:top w:val="nil"/>
              <w:left w:val="nil"/>
              <w:bottom w:val="single" w:sz="6"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NOMBRE D’ATTAQUES:</w:t>
            </w:r>
          </w:p>
        </w:tc>
        <w:tc>
          <w:tcPr>
            <w:tcW w:w="2702" w:type="dxa"/>
            <w:tcBorders>
              <w:top w:val="nil"/>
              <w:left w:val="nil"/>
              <w:bottom w:val="single" w:sz="6"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3</w:t>
            </w:r>
          </w:p>
        </w:tc>
      </w:tr>
      <w:tr w:rsidR="00A7590A">
        <w:tblPrEx>
          <w:tblCellMar>
            <w:top w:w="0" w:type="dxa"/>
            <w:left w:w="0" w:type="dxa"/>
            <w:bottom w:w="0" w:type="dxa"/>
            <w:right w:w="0" w:type="dxa"/>
          </w:tblCellMar>
        </w:tblPrEx>
        <w:trPr>
          <w:trHeight w:val="232"/>
        </w:trPr>
        <w:tc>
          <w:tcPr>
            <w:tcW w:w="2259" w:type="dxa"/>
            <w:tcBorders>
              <w:top w:val="single" w:sz="6"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DÉGÂT PAR ATTAQUE:</w:t>
            </w:r>
          </w:p>
        </w:tc>
        <w:tc>
          <w:tcPr>
            <w:tcW w:w="2702" w:type="dxa"/>
            <w:tcBorders>
              <w:top w:val="single" w:sz="6"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1-3/1-3/1-2</w:t>
            </w:r>
          </w:p>
        </w:tc>
      </w:tr>
      <w:tr w:rsidR="00A7590A">
        <w:tblPrEx>
          <w:tblCellMar>
            <w:top w:w="0" w:type="dxa"/>
            <w:left w:w="0" w:type="dxa"/>
            <w:bottom w:w="0" w:type="dxa"/>
            <w:right w:w="0" w:type="dxa"/>
          </w:tblCellMar>
        </w:tblPrEx>
        <w:trPr>
          <w:trHeight w:val="232"/>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ATTAQUES SPÉCIALES:</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Néant</w:t>
            </w:r>
          </w:p>
        </w:tc>
      </w:tr>
      <w:tr w:rsidR="00A7590A">
        <w:tblPrEx>
          <w:tblCellMar>
            <w:top w:w="0" w:type="dxa"/>
            <w:left w:w="0" w:type="dxa"/>
            <w:bottom w:w="0" w:type="dxa"/>
            <w:right w:w="0" w:type="dxa"/>
          </w:tblCellMar>
        </w:tblPrEx>
        <w:trPr>
          <w:trHeight w:val="276"/>
        </w:trPr>
        <w:tc>
          <w:tcPr>
            <w:tcW w:w="2259"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DÉFENSES SPÉCIALES:</w:t>
            </w:r>
          </w:p>
        </w:tc>
        <w:tc>
          <w:tcPr>
            <w:tcW w:w="2702" w:type="dxa"/>
            <w:tcBorders>
              <w:top w:val="nil"/>
              <w:left w:val="nil"/>
              <w:bottom w:val="single" w:sz="8" w:space="0" w:color="auto"/>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Néant</w:t>
            </w:r>
          </w:p>
        </w:tc>
      </w:tr>
      <w:tr w:rsidR="00A7590A">
        <w:tblPrEx>
          <w:tblCellMar>
            <w:top w:w="0" w:type="dxa"/>
            <w:left w:w="0" w:type="dxa"/>
            <w:bottom w:w="0" w:type="dxa"/>
            <w:right w:w="0" w:type="dxa"/>
          </w:tblCellMar>
        </w:tblPrEx>
        <w:trPr>
          <w:trHeight w:val="232"/>
        </w:trPr>
        <w:tc>
          <w:tcPr>
            <w:tcW w:w="2259"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RÉSISTANCE À LA MAGIE:</w:t>
            </w:r>
          </w:p>
        </w:tc>
        <w:tc>
          <w:tcPr>
            <w:tcW w:w="2702" w:type="dxa"/>
            <w:tcBorders>
              <w:top w:val="single" w:sz="8" w:space="0" w:color="auto"/>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Néant</w:t>
            </w:r>
          </w:p>
        </w:tc>
      </w:tr>
      <w:tr w:rsidR="00A7590A">
        <w:tblPrEx>
          <w:tblCellMar>
            <w:top w:w="0" w:type="dxa"/>
            <w:left w:w="0" w:type="dxa"/>
            <w:bottom w:w="0" w:type="dxa"/>
            <w:right w:w="0" w:type="dxa"/>
          </w:tblCellMar>
        </w:tblPrEx>
        <w:trPr>
          <w:trHeight w:val="218"/>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TAILLE:</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M (1,20 m au garrot)</w:t>
            </w:r>
          </w:p>
        </w:tc>
      </w:tr>
      <w:tr w:rsidR="00A7590A">
        <w:tblPrEx>
          <w:tblCellMar>
            <w:top w:w="0" w:type="dxa"/>
            <w:left w:w="0" w:type="dxa"/>
            <w:bottom w:w="0" w:type="dxa"/>
            <w:right w:w="0" w:type="dxa"/>
          </w:tblCellMar>
        </w:tblPrEx>
        <w:trPr>
          <w:trHeight w:val="232"/>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MORAL:</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 xml:space="preserve">Agité (5-7) </w:t>
            </w:r>
          </w:p>
        </w:tc>
      </w:tr>
      <w:tr w:rsidR="00A7590A">
        <w:tblPrEx>
          <w:tblCellMar>
            <w:top w:w="0" w:type="dxa"/>
            <w:left w:w="0" w:type="dxa"/>
            <w:bottom w:w="0" w:type="dxa"/>
            <w:right w:w="0" w:type="dxa"/>
          </w:tblCellMar>
        </w:tblPrEx>
        <w:trPr>
          <w:trHeight w:val="222"/>
        </w:trPr>
        <w:tc>
          <w:tcPr>
            <w:tcW w:w="2259"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b/>
                <w:bCs/>
                <w:sz w:val="14"/>
                <w:szCs w:val="14"/>
              </w:rPr>
              <w:t>POINTS D’EXPÉRIENCE:</w:t>
            </w:r>
          </w:p>
        </w:tc>
        <w:tc>
          <w:tcPr>
            <w:tcW w:w="2702" w:type="dxa"/>
            <w:tcBorders>
              <w:top w:val="nil"/>
              <w:left w:val="nil"/>
              <w:bottom w:val="nil"/>
              <w:right w:val="nil"/>
            </w:tcBorders>
            <w:vAlign w:val="center"/>
          </w:tcPr>
          <w:p w:rsidR="00A7590A" w:rsidRDefault="00A7590A">
            <w:pPr>
              <w:spacing w:before="20" w:after="20" w:line="240" w:lineRule="auto"/>
              <w:rPr>
                <w:color w:val="auto"/>
                <w:kern w:val="0"/>
                <w:sz w:val="24"/>
                <w:szCs w:val="24"/>
              </w:rPr>
            </w:pPr>
            <w:r>
              <w:rPr>
                <w:rFonts w:ascii="Souvenir Lt BT" w:hAnsi="Souvenir Lt BT" w:cs="Souvenir Lt BT"/>
                <w:sz w:val="14"/>
                <w:szCs w:val="14"/>
              </w:rPr>
              <w:t>30</w:t>
            </w:r>
          </w:p>
        </w:tc>
      </w:tr>
    </w:tbl>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Le rothay est une créature bovine qui ressemblent à un bœuf musqué doté d’une masse de longs poils noirs. C’est l'un des principaux animaux d'élevage des humains dans les régions septentrionales de Féerûne et des drows dans les Profondeurs souterraines. C’est une créature timide qui évolue généralement en troupeaux de 11 à 20 individus.</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Il existe trois variétés de rothays : le rothay des surfaces, le rothay des Profondeurs et le rothay fantôme.</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 xml:space="preserve">Les rothays des surfaces, ou grands rothays, vivent surtout dans le nord du contient de Féerûne.  Plus grands que ceux des autres espèces, ils ont des pattes plus longues, courent plus vite (VD 12) et sont plus agiles pour se déplacer sur les rochers. La Hache de Mirabar, la milice de la ville de Mirabar, s’en sert comme monture en hiver. </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 xml:space="preserve">Les rothays des Profondeurs sont des animaux de subsistance dans les Profondeurs qui servent aux mêmes fins que les bovins et les moutons. On peut trouver des troupeaux dans la plupart des villes des Profondeurs. Plus petit que les rothay des surfaces, leur taille dépasse rarement 1,20 au garrot. Ils ont un pelage brun hirsute qui devient noir en se rapprochant des pattes et du ventre. Leurs sabots et leurs cornes sont vert foncé ou noirs et leurs yeux sont jaunes ou roses. Il sont réputés pour être très têtus. </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Les rothays fantômes, ou rothays des neiges, vivent à la surface des terres gelées, dans la toundra, les prairies montagneuses ou des glaciers. Leur pelage est blanc et ils sont plus grands que la moyenne : sa taille avoisine 1,80 m au garrot. On en trouve couramment dans le nord-ouest de Féerûne et en Vaasie.</w:t>
      </w:r>
    </w:p>
    <w:p w:rsidR="00A7590A" w:rsidRDefault="00A7590A">
      <w:pPr>
        <w:spacing w:after="100" w:line="240" w:lineRule="auto"/>
        <w:jc w:val="both"/>
        <w:rPr>
          <w:rFonts w:ascii="Souvenir Lt BT" w:hAnsi="Souvenir Lt BT" w:cs="Souvenir Lt BT"/>
          <w:b/>
          <w:bCs/>
          <w:color w:val="0070C0"/>
          <w:sz w:val="16"/>
          <w:szCs w:val="16"/>
        </w:rPr>
      </w:pPr>
      <w:r>
        <w:rPr>
          <w:rFonts w:ascii="Souvenir Lt BT" w:hAnsi="Souvenir Lt BT" w:cs="Souvenir Lt BT"/>
          <w:b/>
          <w:bCs/>
          <w:color w:val="0070C0"/>
          <w:sz w:val="16"/>
          <w:szCs w:val="16"/>
        </w:rPr>
        <w:t xml:space="preserve">Combat: </w:t>
      </w:r>
      <w:r>
        <w:rPr>
          <w:rFonts w:ascii="Souvenir Lt BT" w:hAnsi="Souvenir Lt BT" w:cs="Souvenir Lt BT"/>
          <w:sz w:val="16"/>
          <w:szCs w:val="16"/>
        </w:rPr>
        <w:t>Les rothays peuvent se battre à la fois avec leurs deux cornes (1–3 points de dégâts chacune) et leurs dents (1–8 points de dégâts). Ils sont capricieux et ont tendance à fuir en désordre, ce qui peut s'avérer assez dangereux pour tous ceux qui se trouvent sur leur chemin.</w:t>
      </w:r>
    </w:p>
    <w:p w:rsidR="00A7590A" w:rsidRDefault="00A7590A">
      <w:pPr>
        <w:spacing w:after="100" w:line="240" w:lineRule="auto"/>
        <w:jc w:val="both"/>
        <w:rPr>
          <w:rFonts w:ascii="Souvenir Lt BT" w:hAnsi="Souvenir Lt BT" w:cs="Souvenir Lt BT"/>
          <w:sz w:val="16"/>
          <w:szCs w:val="16"/>
        </w:rPr>
      </w:pPr>
      <w:r>
        <w:rPr>
          <w:rFonts w:ascii="Souvenir Lt BT" w:hAnsi="Souvenir Lt BT" w:cs="Souvenir Lt BT"/>
          <w:b/>
          <w:bCs/>
          <w:color w:val="0070C0"/>
          <w:sz w:val="16"/>
          <w:szCs w:val="16"/>
        </w:rPr>
        <w:t xml:space="preserve">Habitat/société: </w:t>
      </w:r>
      <w:r>
        <w:rPr>
          <w:rFonts w:ascii="Souvenir Lt BT" w:hAnsi="Souvenir Lt BT" w:cs="Souvenir Lt BT"/>
          <w:sz w:val="16"/>
          <w:szCs w:val="16"/>
        </w:rPr>
        <w:t xml:space="preserve">De grands troupeaux de rothays des surfaces divaguent près du mont Ghaethluntar et dans les glaciers qui se trouvent à l’est et au nord (au nord de la Mer de Lune), ainsi que dans les grandes étendues neigeuses de la Côte des Épées septentrionale. Quand les hordes de gnolls, de flinds et d’orques les chassent, ils ont tendance à se déplacer vers les dunes gelées et glacées de l’Anauroch (le Grand Désert). La présence d'étangs gelés et de crêtes ensoleillées couvertes de lichens et d'épines terrestres rend les bords de l'Anauroch, juste au nord des ruines d'Ascore, particulièrement accueillants pour les rothays. Dans les dunes dégagées, ils peuvent se déplacer librement pour se disperser ou charger et peu d'ennemis terrestres sont capables de leur résister. </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Les rothays des Profondeurs ont une aversion pour la lumière vive et sont dotés d’une vision dans le noir. Pour cette raison, ils occupent généralement des tanières souterraines, près d’un lac ou d’une rivière où l’approvisionnement en lichen et en mousse comestible est important.</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Les rothays fantômes habitent généralement en surface, mais on peut les trouver dans des cavernes dont l’entrée donne à l’air libre ou, quand le climat est rude, dans les tunnels d'eau de fonte sous les glaciers .</w:t>
      </w:r>
    </w:p>
    <w:p w:rsidR="00A7590A" w:rsidRDefault="00A7590A">
      <w:pPr>
        <w:spacing w:after="100" w:line="240" w:lineRule="auto"/>
        <w:jc w:val="both"/>
        <w:rPr>
          <w:rFonts w:ascii="Souvenir Lt BT" w:hAnsi="Souvenir Lt BT" w:cs="Souvenir Lt BT"/>
          <w:sz w:val="16"/>
          <w:szCs w:val="16"/>
        </w:rPr>
      </w:pPr>
      <w:r>
        <w:rPr>
          <w:rFonts w:ascii="Souvenir Lt BT" w:hAnsi="Souvenir Lt BT" w:cs="Souvenir Lt BT"/>
          <w:b/>
          <w:bCs/>
          <w:color w:val="0070C0"/>
          <w:sz w:val="16"/>
          <w:szCs w:val="16"/>
        </w:rPr>
        <w:t xml:space="preserve">Écologie: </w:t>
      </w:r>
      <w:r>
        <w:rPr>
          <w:rFonts w:ascii="Souvenir Lt BT" w:hAnsi="Souvenir Lt BT" w:cs="Souvenir Lt BT"/>
          <w:sz w:val="16"/>
          <w:szCs w:val="16"/>
        </w:rPr>
        <w:t xml:space="preserve">Les rothays des surfaces ont un pelage plus épais qui fait que leur peau est très souvent utilisée pour fabriquer des vêtements. De nombreux habitants des Royaumes sont connus fabriquer des cordes d'instruments à partir de leurs intestins séchés. Ils se nourrissent de lichens et de fleurs des glaces. Ce sont des plantes blanches inoffensives des régions arctiques de Féerûne, ressemblant à des tournesols qui poussent à plat sur le sol avec de longues tiges rampantes et des feuilles cireuses vert foncé. Les rothays des surfaces s’abreuvent en faisant fondre l’eau avec la chaleur de leur museau. </w:t>
      </w:r>
    </w:p>
    <w:p w:rsidR="00A7590A" w:rsidRDefault="00A7590A">
      <w:pPr>
        <w:spacing w:after="100" w:line="240" w:lineRule="auto"/>
        <w:ind w:firstLine="163"/>
        <w:jc w:val="both"/>
        <w:rPr>
          <w:rFonts w:ascii="Souvenir Lt BT" w:hAnsi="Souvenir Lt BT" w:cs="Souvenir Lt BT"/>
          <w:sz w:val="16"/>
          <w:szCs w:val="16"/>
        </w:rPr>
      </w:pPr>
      <w:r>
        <w:rPr>
          <w:rFonts w:ascii="Souvenir Lt BT" w:hAnsi="Souvenir Lt BT" w:cs="Souvenir Lt BT"/>
          <w:sz w:val="16"/>
          <w:szCs w:val="16"/>
        </w:rPr>
        <w:t xml:space="preserve">Les rothays des Profondeurs vivent dans des tanières souterraines. Ils ont la capacité de créer des </w:t>
      </w:r>
      <w:r>
        <w:rPr>
          <w:rFonts w:ascii="Souvenir Lt BT" w:hAnsi="Souvenir Lt BT" w:cs="Souvenir Lt BT"/>
          <w:i/>
          <w:iCs/>
          <w:sz w:val="16"/>
          <w:szCs w:val="16"/>
        </w:rPr>
        <w:t xml:space="preserve">lumières dansantes </w:t>
      </w:r>
      <w:r>
        <w:rPr>
          <w:rFonts w:ascii="Souvenir Lt BT" w:hAnsi="Souvenir Lt BT" w:cs="Souvenir Lt BT"/>
          <w:sz w:val="16"/>
          <w:szCs w:val="16"/>
        </w:rPr>
        <w:t>pour communiquer avec les autres membres du troupeau. Leur alimentation préférée est la mousse des cavernes que l'on trouve dans les régions riches en faerzress. Sinon, ils se nourrissent de presque tout ce qui pousse dans les Profondeurs, en particulier les champignons, la mousse et le lichen. En raison de leur habitat et de leur régime alimentaire, ils sont immunisés contre les effets nocifs des moisissures et des champignons. Ils sont également résistants aux enchantements. La viande de rothay des Profondeurs est considérée comme plus tendre et moins faisandée que celle du rothay des surfaces.</w:t>
      </w:r>
    </w:p>
    <w:p w:rsidR="00A7590A" w:rsidRDefault="00A7590A">
      <w:pPr>
        <w:spacing w:after="100" w:line="240" w:lineRule="auto"/>
        <w:ind w:firstLine="163"/>
        <w:jc w:val="both"/>
        <w:rPr>
          <w:color w:val="auto"/>
          <w:kern w:val="0"/>
          <w:sz w:val="24"/>
          <w:szCs w:val="24"/>
        </w:rPr>
      </w:pPr>
      <w:r>
        <w:rPr>
          <w:rFonts w:ascii="Souvenir Lt BT" w:hAnsi="Souvenir Lt BT" w:cs="Souvenir Lt BT"/>
          <w:sz w:val="16"/>
          <w:szCs w:val="16"/>
        </w:rPr>
        <w:t xml:space="preserve">Les rothays fantômes ont des capacités magiques qui les aident pour échapper à leur prédateurs: il peuvent utiliser </w:t>
      </w:r>
      <w:r>
        <w:rPr>
          <w:rFonts w:ascii="Souvenir Lt BT" w:hAnsi="Souvenir Lt BT" w:cs="Souvenir Lt BT"/>
          <w:i/>
          <w:iCs/>
          <w:sz w:val="16"/>
          <w:szCs w:val="16"/>
        </w:rPr>
        <w:t xml:space="preserve">saut </w:t>
      </w:r>
      <w:r>
        <w:rPr>
          <w:rFonts w:ascii="Souvenir Lt BT" w:hAnsi="Souvenir Lt BT" w:cs="Souvenir Lt BT"/>
          <w:sz w:val="16"/>
          <w:szCs w:val="16"/>
        </w:rPr>
        <w:t xml:space="preserve">et </w:t>
      </w:r>
      <w:r>
        <w:rPr>
          <w:rFonts w:ascii="Souvenir Lt BT" w:hAnsi="Souvenir Lt BT" w:cs="Souvenir Lt BT"/>
          <w:i/>
          <w:iCs/>
          <w:sz w:val="16"/>
          <w:szCs w:val="16"/>
        </w:rPr>
        <w:t xml:space="preserve">silence,  rayon de 5 m </w:t>
      </w:r>
      <w:r>
        <w:rPr>
          <w:rFonts w:ascii="Souvenir Lt BT" w:hAnsi="Souvenir Lt BT" w:cs="Souvenir Lt BT"/>
          <w:sz w:val="16"/>
          <w:szCs w:val="16"/>
        </w:rPr>
        <w:t>sur eux-mêmes pour se déplacer sans faire de bruit, 2 fois par jour comme un lanceur de sorts de niveau, au besoin les deux dans le même round. Ce sont l'une des proies favorites des remorhaz et des ours polaires.</w:t>
      </w:r>
    </w:p>
    <w:p w:rsidR="00A7590A" w:rsidRDefault="00A7590A">
      <w:pPr>
        <w:overflowPunct/>
        <w:spacing w:after="0" w:line="240" w:lineRule="auto"/>
        <w:rPr>
          <w:color w:val="auto"/>
          <w:kern w:val="0"/>
          <w:sz w:val="24"/>
          <w:szCs w:val="24"/>
        </w:rPr>
        <w:sectPr w:rsidR="00A7590A">
          <w:type w:val="continuous"/>
          <w:pgSz w:w="12240" w:h="15840"/>
          <w:pgMar w:top="1417" w:right="1417" w:bottom="1417" w:left="1417" w:header="720" w:footer="720" w:gutter="0"/>
          <w:cols w:space="720"/>
          <w:noEndnote/>
        </w:sectPr>
      </w:pPr>
    </w:p>
    <w:p w:rsidR="00000000" w:rsidRDefault="00A7590A" w:rsidP="00A7590A">
      <w:pPr>
        <w:jc w:val="right"/>
      </w:pPr>
      <w:r>
        <w:rPr>
          <w:rFonts w:ascii="Souvenir Lt BT" w:hAnsi="Souvenir Lt BT" w:cs="Souvenir Lt BT"/>
          <w:sz w:val="16"/>
          <w:szCs w:val="16"/>
        </w:rPr>
        <w:t>™ &amp; © TSR Inc, tous droits réservés</w:t>
      </w:r>
    </w:p>
    <w:sectPr w:rsidR="00000000" w:rsidSect="00A7590A">
      <w:type w:val="continuous"/>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venir Lt BT">
    <w:panose1 w:val="02080503040505020303"/>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590A"/>
    <w:rsid w:val="00A759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26292222-BD05-4429-9005-50B253B76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tabs>
        <w:tab w:val="center" w:pos="4535"/>
        <w:tab w:val="right" w:pos="9070"/>
      </w:tabs>
      <w:spacing w:after="0"/>
    </w:pPr>
    <w:rPr>
      <w:sz w:val="22"/>
      <w:szCs w:val="22"/>
    </w:rPr>
  </w:style>
  <w:style w:type="character" w:customStyle="1" w:styleId="En-tteCar">
    <w:name w:val="En-tête Car"/>
    <w:basedOn w:val="Policepardfaut"/>
    <w:link w:val="En-tte"/>
    <w:uiPriority w:val="99"/>
    <w:semiHidden/>
    <w:rsid w:val="00A7590A"/>
    <w:rPr>
      <w:rFonts w:ascii="Calibri" w:hAnsi="Calibri" w:cs="Calibri"/>
      <w:color w:val="000000"/>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845</Words>
  <Characters>4653</Characters>
  <Application>Microsoft Office Word</Application>
  <DocSecurity>0</DocSecurity>
  <Lines>38</Lines>
  <Paragraphs>10</Paragraphs>
  <ScaleCrop>false</ScaleCrop>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2022-07-14T13:52:00Z</dcterms:created>
</cp:coreProperties>
</file>